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1778E4">
      <w:pPr>
        <w:pStyle w:val="22"/>
        <w:jc w:val="center"/>
        <w:rPr>
          <w:rStyle w:val="24"/>
          <w:rFonts w:ascii="Arial" w:hAnsi="Arial" w:cs="Arial"/>
          <w:color w:val="000000"/>
          <w:sz w:val="32"/>
          <w:szCs w:val="32"/>
        </w:rPr>
      </w:pPr>
      <w:bookmarkStart w:id="0" w:name="OLE_LINK4"/>
      <w:bookmarkStart w:id="1" w:name="OLE_LINK3"/>
      <w:r>
        <w:rPr>
          <w:rStyle w:val="24"/>
          <w:rFonts w:hint="eastAsia" w:ascii="Arial" w:hAnsi="Arial" w:cs="Arial"/>
          <w:b/>
          <w:color w:val="000000"/>
          <w:sz w:val="48"/>
          <w:szCs w:val="48"/>
        </w:rPr>
        <w:t>论文略读</w:t>
      </w:r>
      <w:bookmarkEnd w:id="0"/>
      <w:bookmarkEnd w:id="1"/>
      <w:r>
        <w:rPr>
          <w:rStyle w:val="24"/>
          <w:rFonts w:hint="eastAsia" w:ascii="Arial" w:hAnsi="Arial" w:cs="Arial"/>
          <w:b/>
          <w:color w:val="000000"/>
          <w:sz w:val="48"/>
          <w:szCs w:val="48"/>
        </w:rPr>
        <w:t>报告</w:t>
      </w:r>
    </w:p>
    <w:tbl>
      <w:tblPr>
        <w:tblStyle w:val="12"/>
        <w:tblW w:w="0" w:type="auto"/>
        <w:tblInd w:w="-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6521"/>
      </w:tblGrid>
      <w:tr w14:paraId="40AF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 w:type="dxa"/>
          </w:tcPr>
          <w:p w14:paraId="6F858CC8">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Paper</w:t>
            </w:r>
          </w:p>
          <w:p w14:paraId="7176B935">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Name</w:t>
            </w:r>
          </w:p>
        </w:tc>
        <w:tc>
          <w:tcPr>
            <w:tcW w:w="6521" w:type="dxa"/>
          </w:tcPr>
          <w:p w14:paraId="70E87647">
            <w:pPr>
              <w:widowControl w:val="0"/>
              <w:jc w:val="left"/>
              <w:rPr>
                <w:rFonts w:hint="default"/>
                <w:lang w:val="en-US" w:eastAsia="zh-CN"/>
              </w:rPr>
            </w:pPr>
            <w:r>
              <w:rPr>
                <w:rFonts w:hint="default"/>
                <w:lang w:val="en-US" w:eastAsia="zh-CN"/>
              </w:rPr>
              <w:t>Pixel-level and Semantic-level Adjustable Super-resolution: A Dual-LoRA Approach</w:t>
            </w:r>
          </w:p>
          <w:p w14:paraId="23519DE2">
            <w:pPr>
              <w:widowControl w:val="0"/>
              <w:jc w:val="left"/>
              <w:rPr>
                <w:rFonts w:hint="eastAsia"/>
                <w:lang w:val="en-US" w:eastAsia="zh-CN"/>
              </w:rPr>
            </w:pPr>
          </w:p>
        </w:tc>
      </w:tr>
      <w:tr w14:paraId="657D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8" w:type="dxa"/>
          </w:tcPr>
          <w:p w14:paraId="22881551">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Author</w:t>
            </w:r>
          </w:p>
        </w:tc>
        <w:tc>
          <w:tcPr>
            <w:tcW w:w="6521" w:type="dxa"/>
          </w:tcPr>
          <w:p w14:paraId="7A01EE68">
            <w:pPr>
              <w:widowControl w:val="0"/>
              <w:jc w:val="left"/>
              <w:rPr>
                <w:rFonts w:hint="default"/>
                <w:lang w:val="en-US" w:eastAsia="zh-CN"/>
              </w:rPr>
            </w:pPr>
            <w:r>
              <w:rPr>
                <w:rFonts w:hint="default"/>
                <w:lang w:val="en-US" w:eastAsia="zh-CN"/>
              </w:rPr>
              <w:t>Lingchen Sun , Rongyuan Wu , Zhiyuan Ma, Shuaizheng Liu , Qiaosi Yi , Lei Zhang</w:t>
            </w:r>
          </w:p>
          <w:p w14:paraId="01699A43">
            <w:pPr>
              <w:widowControl w:val="0"/>
              <w:jc w:val="left"/>
              <w:rPr>
                <w:rFonts w:hint="eastAsia"/>
                <w:lang w:val="en-US" w:eastAsia="zh-CN"/>
              </w:rPr>
            </w:pPr>
          </w:p>
          <w:p w14:paraId="59A68D08">
            <w:pPr>
              <w:widowControl w:val="0"/>
              <w:jc w:val="left"/>
              <w:rPr>
                <w:rFonts w:hint="eastAsia"/>
                <w:lang w:val="en-US" w:eastAsia="zh-CN"/>
              </w:rPr>
            </w:pPr>
          </w:p>
        </w:tc>
      </w:tr>
      <w:tr w14:paraId="2261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168" w:type="dxa"/>
          </w:tcPr>
          <w:p w14:paraId="11F7E16A">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Author</w:t>
            </w:r>
          </w:p>
          <w:p w14:paraId="6D8F644A">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Affiliation</w:t>
            </w:r>
          </w:p>
        </w:tc>
        <w:tc>
          <w:tcPr>
            <w:tcW w:w="6521" w:type="dxa"/>
          </w:tcPr>
          <w:p w14:paraId="6439E0F7">
            <w:pPr>
              <w:widowControl w:val="0"/>
              <w:numPr>
                <w:ilvl w:val="0"/>
                <w:numId w:val="0"/>
              </w:numPr>
              <w:ind w:leftChars="0"/>
              <w:jc w:val="both"/>
              <w:rPr>
                <w:rFonts w:hint="eastAsia" w:ascii="宋体" w:hAnsi="宋体" w:eastAsia="宋体" w:cs="宋体"/>
                <w:b w:val="0"/>
                <w:bCs w:val="0"/>
                <w:kern w:val="0"/>
                <w:sz w:val="24"/>
                <w:szCs w:val="24"/>
                <w:lang w:val="en-US" w:eastAsia="zh-CN" w:bidi="ar-SA"/>
              </w:rPr>
            </w:pPr>
            <w:r>
              <w:rPr>
                <w:rFonts w:hint="eastAsia" w:ascii="宋体" w:hAnsi="宋体" w:eastAsia="宋体" w:cs="宋体"/>
                <w:sz w:val="24"/>
                <w:szCs w:val="24"/>
              </w:rPr>
              <w:t>香港理工大学</w:t>
            </w:r>
            <w:r>
              <w:rPr>
                <w:rFonts w:hint="eastAsia" w:cs="宋体"/>
                <w:sz w:val="24"/>
                <w:szCs w:val="24"/>
                <w:lang w:val="en-US" w:eastAsia="zh-CN"/>
              </w:rPr>
              <w:t>和</w:t>
            </w:r>
            <w:r>
              <w:rPr>
                <w:rFonts w:hint="eastAsia" w:ascii="宋体" w:hAnsi="宋体" w:eastAsia="宋体" w:cs="宋体"/>
                <w:sz w:val="24"/>
                <w:szCs w:val="24"/>
              </w:rPr>
              <w:t>OPPO研究院</w:t>
            </w:r>
            <w:r>
              <w:rPr>
                <w:rFonts w:hint="eastAsia" w:ascii="宋体" w:hAnsi="宋体" w:eastAsia="宋体" w:cs="宋体"/>
                <w:b w:val="0"/>
                <w:bCs w:val="0"/>
                <w:kern w:val="0"/>
                <w:sz w:val="24"/>
                <w:szCs w:val="24"/>
                <w:lang w:val="en-US" w:eastAsia="zh-CN" w:bidi="ar-SA"/>
              </w:rPr>
              <w:t>合作完成</w:t>
            </w:r>
          </w:p>
        </w:tc>
      </w:tr>
      <w:tr w14:paraId="58F7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 w:type="dxa"/>
          </w:tcPr>
          <w:p w14:paraId="23A33291">
            <w:pPr>
              <w:pStyle w:val="22"/>
              <w:widowControl w:val="0"/>
              <w:spacing w:before="0" w:beforeAutospacing="0" w:after="0" w:afterAutospacing="0"/>
              <w:jc w:val="both"/>
              <w:rPr>
                <w:rStyle w:val="24"/>
                <w:rFonts w:ascii="Arial" w:hAnsi="Arial" w:cs="Arial"/>
                <w:color w:val="000000"/>
                <w:sz w:val="30"/>
                <w:szCs w:val="30"/>
              </w:rPr>
            </w:pPr>
            <w:r>
              <w:rPr>
                <w:rStyle w:val="24"/>
                <w:rFonts w:hint="eastAsia" w:ascii="Arial" w:hAnsi="Arial" w:cs="Arial"/>
                <w:color w:val="000000"/>
                <w:sz w:val="30"/>
                <w:szCs w:val="30"/>
              </w:rPr>
              <w:t>Citation Rate</w:t>
            </w:r>
          </w:p>
        </w:tc>
        <w:tc>
          <w:tcPr>
            <w:tcW w:w="6521" w:type="dxa"/>
          </w:tcPr>
          <w:p w14:paraId="46D79EE5">
            <w:pPr>
              <w:pStyle w:val="3"/>
              <w:widowControl/>
              <w:shd w:val="clear" w:color="auto" w:fill="FFFFFF"/>
              <w:spacing w:beforeAutospacing="0" w:after="120" w:afterAutospacing="0" w:line="312" w:lineRule="atLeast"/>
              <w:jc w:val="both"/>
              <w:rPr>
                <w:rFonts w:hint="default" w:eastAsia="宋体"/>
                <w:lang w:val="en-US" w:eastAsia="zh-CN"/>
              </w:rPr>
            </w:pPr>
          </w:p>
        </w:tc>
      </w:tr>
      <w:tr w14:paraId="0C25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 w:type="dxa"/>
          </w:tcPr>
          <w:p w14:paraId="2D4A08A8">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Download</w:t>
            </w:r>
          </w:p>
          <w:p w14:paraId="0C3ADE9D">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From</w:t>
            </w:r>
          </w:p>
        </w:tc>
        <w:tc>
          <w:tcPr>
            <w:tcW w:w="6521" w:type="dxa"/>
          </w:tcPr>
          <w:p w14:paraId="62151081">
            <w:pPr>
              <w:widowControl w:val="0"/>
              <w:numPr>
                <w:ilvl w:val="0"/>
                <w:numId w:val="0"/>
              </w:numPr>
              <w:ind w:leftChars="0"/>
              <w:jc w:val="both"/>
              <w:rPr>
                <w:rFonts w:hint="eastAsia"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https://</w:t>
            </w:r>
            <w:r>
              <w:rPr>
                <w:rFonts w:hint="eastAsia" w:ascii="宋体" w:hAnsi="宋体" w:eastAsia="宋体" w:cs="宋体"/>
                <w:b w:val="0"/>
                <w:bCs w:val="0"/>
                <w:kern w:val="0"/>
                <w:sz w:val="24"/>
                <w:szCs w:val="24"/>
                <w:lang w:val="en-US" w:eastAsia="zh-CN" w:bidi="ar-SA"/>
              </w:rPr>
              <w:fldChar w:fldCharType="begin"/>
            </w:r>
            <w:r>
              <w:rPr>
                <w:rFonts w:hint="eastAsia" w:ascii="宋体" w:hAnsi="宋体" w:eastAsia="宋体" w:cs="宋体"/>
                <w:b w:val="0"/>
                <w:bCs w:val="0"/>
                <w:kern w:val="0"/>
                <w:sz w:val="24"/>
                <w:szCs w:val="24"/>
                <w:lang w:val="en-US" w:eastAsia="zh-CN" w:bidi="ar-SA"/>
              </w:rPr>
              <w:instrText xml:space="preserve"> HYPERLINK "https://arxiv.org/pdf/2412.03017" </w:instrText>
            </w:r>
            <w:r>
              <w:rPr>
                <w:rFonts w:hint="eastAsia" w:ascii="宋体" w:hAnsi="宋体" w:eastAsia="宋体" w:cs="宋体"/>
                <w:b w:val="0"/>
                <w:bCs w:val="0"/>
                <w:kern w:val="0"/>
                <w:sz w:val="24"/>
                <w:szCs w:val="24"/>
                <w:lang w:val="en-US" w:eastAsia="zh-CN" w:bidi="ar-SA"/>
              </w:rPr>
              <w:fldChar w:fldCharType="separate"/>
            </w:r>
            <w:r>
              <w:rPr>
                <w:rFonts w:hint="eastAsia" w:ascii="宋体" w:hAnsi="宋体" w:eastAsia="宋体" w:cs="宋体"/>
                <w:b w:val="0"/>
                <w:bCs w:val="0"/>
                <w:kern w:val="0"/>
                <w:sz w:val="24"/>
                <w:szCs w:val="24"/>
                <w:lang w:val="en-US" w:eastAsia="zh-CN" w:bidi="ar-SA"/>
              </w:rPr>
              <w:t>arxiv.org/pdf/2412.03017</w:t>
            </w:r>
            <w:r>
              <w:rPr>
                <w:rFonts w:hint="eastAsia" w:ascii="宋体" w:hAnsi="宋体" w:eastAsia="宋体" w:cs="宋体"/>
                <w:b w:val="0"/>
                <w:bCs w:val="0"/>
                <w:kern w:val="0"/>
                <w:sz w:val="24"/>
                <w:szCs w:val="24"/>
                <w:lang w:val="en-US" w:eastAsia="zh-CN" w:bidi="ar-SA"/>
              </w:rPr>
              <w:fldChar w:fldCharType="end"/>
            </w:r>
          </w:p>
        </w:tc>
      </w:tr>
      <w:tr w14:paraId="10B3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168" w:type="dxa"/>
          </w:tcPr>
          <w:p w14:paraId="280F21F5">
            <w:pPr>
              <w:pStyle w:val="22"/>
              <w:widowControl w:val="0"/>
              <w:spacing w:before="0" w:beforeAutospacing="0" w:after="0" w:afterAutospacing="0"/>
              <w:jc w:val="both"/>
              <w:rPr>
                <w:rStyle w:val="24"/>
                <w:rFonts w:ascii="Arial" w:hAnsi="Arial" w:cs="Arial"/>
                <w:color w:val="000000"/>
                <w:sz w:val="30"/>
                <w:szCs w:val="30"/>
              </w:rPr>
            </w:pPr>
            <w:r>
              <w:rPr>
                <w:rStyle w:val="24"/>
                <w:rFonts w:hint="eastAsia" w:ascii="Arial" w:hAnsi="Arial" w:cs="Arial"/>
                <w:color w:val="000000"/>
                <w:sz w:val="30"/>
                <w:szCs w:val="30"/>
              </w:rPr>
              <w:t>Abstract</w:t>
            </w:r>
          </w:p>
        </w:tc>
        <w:tc>
          <w:tcPr>
            <w:tcW w:w="6521" w:type="dxa"/>
          </w:tcPr>
          <w:p w14:paraId="0A38AD7F">
            <w:pPr>
              <w:widowControl w:val="0"/>
              <w:numPr>
                <w:ilvl w:val="0"/>
                <w:numId w:val="0"/>
              </w:numPr>
              <w:ind w:leftChars="0"/>
              <w:jc w:val="both"/>
              <w:rPr>
                <w:rFonts w:hint="eastAsia" w:ascii="宋体" w:hAnsi="宋体" w:eastAsia="宋体" w:cs="宋体"/>
                <w:b w:val="0"/>
                <w:bCs w:val="0"/>
                <w:kern w:val="0"/>
                <w:sz w:val="24"/>
                <w:szCs w:val="24"/>
                <w:lang w:val="en-US" w:eastAsia="zh-CN" w:bidi="ar-SA"/>
              </w:rPr>
            </w:pPr>
            <w:r>
              <w:rPr>
                <w:rFonts w:ascii="宋体" w:hAnsi="宋体" w:eastAsia="宋体" w:cs="宋体"/>
                <w:sz w:val="24"/>
                <w:szCs w:val="24"/>
              </w:rPr>
              <w:t>基于扩散先验的方法在真实场景图像超分辨率（SR）任务中已展现出优异效果。然而，现有多数方法在训练过程中将像素级与语义级超分辨率目标相互纠缠，难以在像素保真度与感知质量之间取得平衡。同时，用户对超分辨率结果存在不同偏好，因此亟需研发一种可调节的超分辨率模型，能够在推理阶段根据不同的保真度–感知偏好进行定制，无需重新训练。本文提出 像素级与语义级可调节超分辨率（PiSA</w:t>
            </w:r>
            <w:r>
              <w:rPr>
                <w:rFonts w:ascii="宋体" w:hAnsi="宋体" w:eastAsia="宋体" w:cs="宋体"/>
                <w:sz w:val="24"/>
                <w:szCs w:val="24"/>
              </w:rPr>
              <w:noBreakHyphen/>
            </w:r>
            <w:r>
              <w:rPr>
                <w:rFonts w:ascii="宋体" w:hAnsi="宋体" w:eastAsia="宋体" w:cs="宋体"/>
                <w:sz w:val="24"/>
                <w:szCs w:val="24"/>
              </w:rPr>
              <w:t>SR）方法，该方法在预训练的稳定扩散（Stable</w:t>
            </w:r>
            <w:r>
              <w:rPr>
                <w:rFonts w:ascii="宋体" w:hAnsi="宋体" w:eastAsia="宋体" w:cs="宋体"/>
                <w:sz w:val="24"/>
                <w:szCs w:val="24"/>
              </w:rPr>
              <w:noBreakHyphen/>
            </w:r>
            <w:r>
              <w:rPr>
                <w:rFonts w:ascii="宋体" w:hAnsi="宋体" w:eastAsia="宋体" w:cs="宋体"/>
                <w:sz w:val="24"/>
                <w:szCs w:val="24"/>
              </w:rPr>
              <w:t>Diffusion, SD）模型基础上学习两个 LoRA 模块，以实现效果更优且可调节的超分辨率。我们首先将基于 SD 的超分辨率问题建模为学习低质量输入与高质量输出之间的残差，进而证明学习目标可解耦为两个独立的 LoRA 权重空间：一个以ℓ₂损失为特征，用于像素级回归；另一个以 LPIPS 损失与分类器分数蒸馏损失为特征，从预训练分类模型与 SD 模型中提取语义信息。在默认配置下，PiSA</w:t>
            </w:r>
            <w:r>
              <w:rPr>
                <w:rFonts w:ascii="宋体" w:hAnsi="宋体" w:eastAsia="宋体" w:cs="宋体"/>
                <w:sz w:val="24"/>
                <w:szCs w:val="24"/>
              </w:rPr>
              <w:noBreakHyphen/>
            </w:r>
            <w:r>
              <w:rPr>
                <w:rFonts w:ascii="宋体" w:hAnsi="宋体" w:eastAsia="宋体" w:cs="宋体"/>
                <w:sz w:val="24"/>
                <w:szCs w:val="24"/>
              </w:rPr>
              <w:t>SR 可通过单步扩散完成推理，在真实场景超分辨率任务中同时取得领先的质量与效率。通过在两个 LoRA 模块上引入可调节引导系数，在推理阶段控制像素保真度与语义细节的强度，PiSA</w:t>
            </w:r>
            <w:r>
              <w:rPr>
                <w:rFonts w:ascii="宋体" w:hAnsi="宋体" w:eastAsia="宋体" w:cs="宋体"/>
                <w:sz w:val="24"/>
                <w:szCs w:val="24"/>
              </w:rPr>
              <w:noBreakHyphen/>
            </w:r>
            <w:r>
              <w:rPr>
                <w:rFonts w:ascii="宋体" w:hAnsi="宋体" w:eastAsia="宋体" w:cs="宋体"/>
                <w:sz w:val="24"/>
                <w:szCs w:val="24"/>
              </w:rPr>
              <w:t>SR 无需重新训练即可根据用户偏好提供灵活的超分辨率结果。</w:t>
            </w:r>
          </w:p>
        </w:tc>
      </w:tr>
      <w:tr w14:paraId="2E09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 w:type="dxa"/>
          </w:tcPr>
          <w:p w14:paraId="3E6F5C8B">
            <w:pPr>
              <w:pStyle w:val="22"/>
              <w:widowControl w:val="0"/>
              <w:spacing w:before="0" w:beforeAutospacing="0" w:after="0" w:afterAutospacing="0"/>
              <w:jc w:val="both"/>
              <w:rPr>
                <w:rStyle w:val="24"/>
                <w:rFonts w:ascii="Arial" w:hAnsi="Arial" w:cs="Arial"/>
                <w:color w:val="000000"/>
                <w:sz w:val="30"/>
                <w:szCs w:val="30"/>
              </w:rPr>
            </w:pPr>
            <w:r>
              <w:rPr>
                <w:rStyle w:val="24"/>
                <w:rFonts w:hint="eastAsia" w:ascii="Arial" w:hAnsi="Arial" w:cs="Arial"/>
                <w:color w:val="000000"/>
                <w:sz w:val="30"/>
                <w:szCs w:val="30"/>
              </w:rPr>
              <w:t>Main</w:t>
            </w:r>
          </w:p>
          <w:p w14:paraId="513E0C66">
            <w:pPr>
              <w:pStyle w:val="22"/>
              <w:widowControl w:val="0"/>
              <w:spacing w:before="0" w:beforeAutospacing="0" w:after="0" w:afterAutospacing="0"/>
              <w:jc w:val="both"/>
              <w:rPr>
                <w:rStyle w:val="24"/>
                <w:rFonts w:ascii="Arial" w:hAnsi="Arial" w:cs="Arial"/>
                <w:color w:val="000000"/>
                <w:sz w:val="30"/>
                <w:szCs w:val="30"/>
              </w:rPr>
            </w:pPr>
            <w:r>
              <w:rPr>
                <w:rStyle w:val="24"/>
                <w:rFonts w:hint="eastAsia" w:ascii="Arial" w:hAnsi="Arial" w:cs="Arial"/>
                <w:color w:val="000000"/>
                <w:sz w:val="30"/>
                <w:szCs w:val="30"/>
              </w:rPr>
              <w:t>Area</w:t>
            </w:r>
          </w:p>
        </w:tc>
        <w:tc>
          <w:tcPr>
            <w:tcW w:w="6521" w:type="dxa"/>
          </w:tcPr>
          <w:p w14:paraId="4F85DB5C">
            <w:pPr>
              <w:widowControl w:val="0"/>
              <w:numPr>
                <w:ilvl w:val="0"/>
                <w:numId w:val="0"/>
              </w:numPr>
              <w:ind w:leftChars="0"/>
              <w:jc w:val="both"/>
              <w:rPr>
                <w:rFonts w:ascii="宋体" w:hAnsi="宋体" w:eastAsia="宋体" w:cs="宋体"/>
                <w:sz w:val="24"/>
                <w:szCs w:val="24"/>
              </w:rPr>
            </w:pPr>
            <w:r>
              <w:rPr>
                <w:rFonts w:ascii="宋体" w:hAnsi="宋体" w:eastAsia="宋体" w:cs="宋体"/>
                <w:sz w:val="24"/>
                <w:szCs w:val="24"/>
              </w:rPr>
              <w:t>图像超分辨率</w:t>
            </w:r>
            <w:r>
              <w:rPr>
                <w:rFonts w:hint="eastAsia" w:cs="宋体"/>
                <w:sz w:val="24"/>
                <w:szCs w:val="24"/>
                <w:lang w:eastAsia="zh-CN"/>
              </w:rPr>
              <w:t>、</w:t>
            </w:r>
            <w:r>
              <w:rPr>
                <w:rFonts w:hint="eastAsia" w:ascii="宋体" w:hAnsi="宋体" w:eastAsia="宋体" w:cs="宋体"/>
                <w:sz w:val="24"/>
                <w:szCs w:val="24"/>
              </w:rPr>
              <w:t xml:space="preserve"> </w:t>
            </w:r>
            <w:r>
              <w:rPr>
                <w:rFonts w:ascii="宋体" w:hAnsi="宋体" w:eastAsia="宋体" w:cs="宋体"/>
                <w:sz w:val="24"/>
                <w:szCs w:val="24"/>
              </w:rPr>
              <w:t>扩散模型</w:t>
            </w:r>
            <w:r>
              <w:rPr>
                <w:rFonts w:hint="eastAsia" w:cs="宋体"/>
                <w:sz w:val="24"/>
                <w:szCs w:val="24"/>
                <w:lang w:eastAsia="zh-CN"/>
              </w:rPr>
              <w:t>、</w:t>
            </w:r>
            <w:r>
              <w:rPr>
                <w:rFonts w:ascii="宋体" w:hAnsi="宋体" w:eastAsia="宋体" w:cs="宋体"/>
                <w:sz w:val="24"/>
                <w:szCs w:val="24"/>
              </w:rPr>
              <w:t>可调式超分</w:t>
            </w:r>
          </w:p>
          <w:p w14:paraId="34912061">
            <w:pPr>
              <w:widowControl w:val="0"/>
              <w:numPr>
                <w:ilvl w:val="0"/>
                <w:numId w:val="0"/>
              </w:numPr>
              <w:ind w:leftChars="0"/>
              <w:jc w:val="both"/>
              <w:rPr>
                <w:rFonts w:hint="eastAsia" w:ascii="宋体" w:hAnsi="宋体" w:eastAsia="宋体" w:cs="宋体"/>
                <w:sz w:val="24"/>
                <w:szCs w:val="24"/>
                <w:lang w:val="en-US" w:eastAsia="zh-CN"/>
              </w:rPr>
            </w:pPr>
          </w:p>
        </w:tc>
      </w:tr>
      <w:tr w14:paraId="236F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 w:type="dxa"/>
          </w:tcPr>
          <w:p w14:paraId="4866A991">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Introduction</w:t>
            </w:r>
          </w:p>
        </w:tc>
        <w:tc>
          <w:tcPr>
            <w:tcW w:w="6521" w:type="dxa"/>
          </w:tcPr>
          <w:p w14:paraId="3C91C445">
            <w:pPr>
              <w:widowControl w:val="0"/>
              <w:numPr>
                <w:ilvl w:val="0"/>
                <w:numId w:val="0"/>
              </w:numPr>
              <w:ind w:leftChars="0"/>
              <w:jc w:val="both"/>
              <w:rPr>
                <w:rFonts w:ascii="宋体" w:hAnsi="宋体" w:eastAsia="宋体" w:cs="宋体"/>
                <w:sz w:val="24"/>
                <w:szCs w:val="24"/>
              </w:rPr>
            </w:pPr>
            <w:r>
              <w:rPr>
                <w:rFonts w:ascii="宋体" w:hAnsi="宋体" w:eastAsia="宋体" w:cs="宋体"/>
                <w:sz w:val="24"/>
                <w:szCs w:val="24"/>
                <w:lang w:val="en-US" w:eastAsia="zh-CN"/>
              </w:rPr>
              <w:t>单图像超分辨率（SR） 旨在从受噪声、模糊、下采样等多种退化影响的低质量（LQ）图像中，重建出高质量（HQ）图像。由于细节重建过程中存在固有的不确定性，SR 是一个极具挑战性的不适定问题 ，各类深度神经网络（DNNs）被提出用于解决该任务。ℓ₁、ℓ₂等像素级回归损失是保证 SR 输出像素保真度的核心，但这类损失往往会导致重建细节过度平滑。结构相似性（SSIM）与感知损失可缓解这一问题：具体而言，SSIM 衡量 SR 图像与真实（GT）图像的局部结构相似性，感知损失 则通过预训练分类模型提取语义特征，提升 SR 结果的感知质量。与生成对抗网络（GAN）结合的对抗损失 ，相比 SSIM / 感知损失能更有效地让 SR 图像贴合自然图像分布，从而生成感知上更真实的结果；但同时，对抗训练的不稳定性与 GAN 在自然图像空间表征能力的局限性，也会引入大量不必要的视觉伪影。近年来发展的大规模稳定扩散（SD）模型，在文本到图像（T2I）任务上完成预训练后，具备了出色的语义理解能力，已成功应用于包括 SR 在内的多项下游任务，相关研究如 。基于 SD 的 SR 方法虽能生成比 GAN-based 方法更具真实感的结果，但在扩散过程中普遍将像素保真度与语义增强目标相互耦合，而这两类目标在优化中存在矛盾，导致模型难以在最终 SR 输出中平衡像素保真度与语义感知效果。尽管部分方法在语义增强前执行像素级修复，但后一阶段的效果高度依赖前序阶段的准确性。除了像素保真度与语义细节的固有权衡，实际应用中用户对 SR 结果的偏好也存在差异：部分用户优先保障内容保真度，避免细节生成过度；另一部分用户则更看重语义丰富的细节，而非严格的像素一致性。这种用户偏好的多样性，凸显了研发更灵活的 SR 方法的必要性 —— 该方法需能在推理阶段适配个性化需求，而非仅提供固定输出。虽然已有部分方法 探索了交互式 SR 来控制重建强度，但这类方法大多仅局限于退化层面的调整（如噪声、模糊），仅能生成更平滑或更锐利的输出；部分多步 SD-based SR 方法 采用引导 - based 策略，通过多步采样实现不同程度的语义丰富度控制，但这类方法往往难以实现精准控制，且推理效率较低。在本文工作中，我们提出像素级与语义级可调节超分辨率（Pixel-level and Semantic-level Adjustable Super-Resolution, PiSA-SR），该方法将像素级与语义级增强解耦为两个独立的低秩自适应（LoRA）权重空间，基于预训练 SD 模型进行学习，为满足不同用户偏好提供了高效的 SR 模型。我们首先将基于 SD 的 SR 问题建模为学习 LQ 与 HQ 潜在特征之间的残差，该公式不仅能加速模型训练收敛，还可在输出端引入灵活的缩放因子，实现无需重训练的推理阶段灵活调整。随后，我们对预训练 SD 模型进行微调，引入两个分别用于像素级回归与语义级增强的专用 LoRA 模块：具体而言，ℓ₂损失用于优化像素级回归 LoRA，LPIPS 损失与分类器分数蒸馏（CSD）损失则用于另一 LoRA 模块，充分利用预训练 VGG 分类模型与 SD 图像生成模型中编码的语义先验。这种解耦训练方法，在保障像素保真度的同时，有效提升了语义信息的提取效果。实验表明，PiSA-SR 不仅取得了优于现有 SD-based 方法的性能，还为用户提供了基于个人偏好调整 SR 风格的有效方案，示例如图 1 所示。图中水平与垂直轴分别对应像素级与语义级引导尺度：增大像素级尺度可消除噪声与压缩伪影，但尺度过强会导致图像细节过度平滑；反之，增大语义级尺度可丰富图像细节，但尺度过高会产生视觉伪影（可放大查看细节）。通过在两个 LoRA 模块上引入两个可调节引导尺度，在推理阶段控制像素保真度与语义细节的强度，PiSA-SR 无需重新训练即可根据用户偏好生成灵活的 SR 结果。</w:t>
            </w:r>
          </w:p>
          <w:p w14:paraId="0FE6C70F">
            <w:pPr>
              <w:widowControl w:val="0"/>
              <w:numPr>
                <w:ilvl w:val="0"/>
                <w:numId w:val="0"/>
              </w:numPr>
              <w:ind w:leftChars="0"/>
              <w:jc w:val="both"/>
              <w:rPr>
                <w:rFonts w:hint="eastAsia" w:ascii="宋体" w:hAnsi="宋体" w:eastAsia="宋体" w:cs="宋体"/>
                <w:sz w:val="24"/>
                <w:szCs w:val="24"/>
                <w:lang w:val="en-US" w:eastAsia="zh-CN"/>
              </w:rPr>
            </w:pPr>
          </w:p>
        </w:tc>
      </w:tr>
      <w:tr w14:paraId="7E04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 w:type="dxa"/>
          </w:tcPr>
          <w:p w14:paraId="7F708A34">
            <w:pPr>
              <w:pStyle w:val="22"/>
              <w:widowControl w:val="0"/>
              <w:spacing w:before="0" w:beforeAutospacing="0" w:after="0" w:afterAutospacing="0"/>
              <w:jc w:val="both"/>
              <w:rPr>
                <w:rStyle w:val="24"/>
                <w:rFonts w:ascii="Arial" w:hAnsi="Arial" w:cs="Arial"/>
                <w:color w:val="000000"/>
                <w:sz w:val="30"/>
                <w:szCs w:val="30"/>
              </w:rPr>
            </w:pPr>
            <w:r>
              <w:rPr>
                <w:rStyle w:val="24"/>
                <w:rFonts w:hint="eastAsia" w:ascii="Arial" w:hAnsi="Arial" w:cs="Arial"/>
                <w:color w:val="000000" w:themeColor="text1"/>
                <w:sz w:val="30"/>
                <w:szCs w:val="30"/>
                <w:highlight w:val="none"/>
                <w14:textFill>
                  <w14:solidFill>
                    <w14:schemeClr w14:val="tx1"/>
                  </w14:solidFill>
                </w14:textFill>
              </w:rPr>
              <w:t>Contribution</w:t>
            </w:r>
          </w:p>
        </w:tc>
        <w:tc>
          <w:tcPr>
            <w:tcW w:w="6521" w:type="dxa"/>
          </w:tcPr>
          <w:p w14:paraId="1DD74EB2">
            <w:pPr>
              <w:widowControl w:val="0"/>
              <w:numPr>
                <w:ilvl w:val="0"/>
                <w:numId w:val="0"/>
              </w:numPr>
              <w:ind w:leftChars="0"/>
              <w:jc w:val="both"/>
              <w:rPr>
                <w:rFonts w:ascii="宋体" w:hAnsi="宋体" w:eastAsia="宋体" w:cs="宋体"/>
                <w:sz w:val="24"/>
                <w:szCs w:val="24"/>
                <w:lang w:val="en-US" w:eastAsia="zh-CN"/>
              </w:rPr>
            </w:pPr>
            <w:r>
              <w:rPr>
                <w:rFonts w:ascii="宋体" w:hAnsi="宋体" w:eastAsia="宋体" w:cs="宋体"/>
                <w:sz w:val="24"/>
                <w:szCs w:val="24"/>
                <w:lang w:val="en-US" w:eastAsia="zh-CN"/>
              </w:rPr>
              <w:t>·</w:t>
            </w:r>
            <w:r>
              <w:rPr>
                <w:rFonts w:hint="eastAsia" w:ascii="宋体" w:hAnsi="宋体" w:eastAsia="宋体" w:cs="宋体"/>
                <w:sz w:val="24"/>
                <w:szCs w:val="24"/>
                <w:lang w:val="en-US" w:eastAsia="zh-CN"/>
              </w:rPr>
              <w:t xml:space="preserve">  </w:t>
            </w:r>
            <w:r>
              <w:rPr>
                <w:rFonts w:ascii="宋体" w:hAnsi="宋体" w:eastAsia="宋体" w:cs="宋体"/>
                <w:sz w:val="24"/>
                <w:szCs w:val="24"/>
                <w:lang w:val="en-US" w:eastAsia="zh-CN"/>
              </w:rPr>
              <w:t>提出将基于稳定扩散的超分辨率建模为学习低质输入与高质输出之间残差的框架，并将优化目标解耦为像素级与语义级两个独立的 LoRA 空间。</w:t>
            </w:r>
          </w:p>
          <w:p w14:paraId="39EFC49B">
            <w:pPr>
              <w:widowControl w:val="0"/>
              <w:numPr>
                <w:ilvl w:val="0"/>
                <w:numId w:val="0"/>
              </w:numPr>
              <w:ind w:leftChars="0"/>
              <w:jc w:val="both"/>
              <w:rPr>
                <w:rFonts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w:t>
            </w:r>
            <w:r>
              <w:rPr>
                <w:rFonts w:ascii="宋体" w:hAnsi="宋体" w:eastAsia="宋体" w:cs="宋体"/>
                <w:sz w:val="24"/>
                <w:szCs w:val="24"/>
                <w:lang w:val="en-US" w:eastAsia="zh-CN"/>
              </w:rPr>
              <w:t>设计两个分别对应像素保真与语义感知的 LoRA 模块，分别使用 ℓ₂ 损失、LPIPS 损失与分类器分数蒸馏损失进行优化。</w:t>
            </w:r>
          </w:p>
          <w:p w14:paraId="422FE51F">
            <w:pPr>
              <w:widowControl w:val="0"/>
              <w:numPr>
                <w:ilvl w:val="0"/>
                <w:numId w:val="0"/>
              </w:numPr>
              <w:ind w:leftChars="0"/>
              <w:jc w:val="both"/>
              <w:rPr>
                <w:rFonts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w:t>
            </w:r>
            <w:r>
              <w:rPr>
                <w:rFonts w:ascii="宋体" w:hAnsi="宋体" w:eastAsia="宋体" w:cs="宋体"/>
                <w:sz w:val="24"/>
                <w:szCs w:val="24"/>
                <w:lang w:val="en-US" w:eastAsia="zh-CN"/>
              </w:rPr>
              <w:t>在推理阶段引入两个可调节的引导系数，实现无需重训练即可灵活控制保真度与感知质量的平衡。</w:t>
            </w:r>
          </w:p>
          <w:p w14:paraId="2CB4E490">
            <w:pPr>
              <w:widowControl w:val="0"/>
              <w:numPr>
                <w:ilvl w:val="0"/>
                <w:numId w:val="0"/>
              </w:numPr>
              <w:ind w:leftChars="0"/>
              <w:jc w:val="both"/>
              <w:rPr>
                <w:rFonts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w:t>
            </w:r>
            <w:r>
              <w:rPr>
                <w:rFonts w:ascii="宋体" w:hAnsi="宋体" w:eastAsia="宋体" w:cs="宋体"/>
                <w:sz w:val="24"/>
                <w:szCs w:val="24"/>
                <w:lang w:val="en-US" w:eastAsia="zh-CN"/>
              </w:rPr>
              <w:t>模型默认仅需单步扩散生成，在真实图像超分任务上同时达到领先的效果与高效的推理速度。</w:t>
            </w:r>
          </w:p>
          <w:p w14:paraId="537F2D3D">
            <w:pPr>
              <w:widowControl w:val="0"/>
              <w:numPr>
                <w:ilvl w:val="0"/>
                <w:numId w:val="0"/>
              </w:numPr>
              <w:ind w:leftChars="0"/>
              <w:jc w:val="both"/>
              <w:rPr>
                <w:rFonts w:hint="eastAsia" w:ascii="宋体" w:hAnsi="宋体" w:eastAsia="宋体" w:cs="宋体"/>
                <w:sz w:val="24"/>
                <w:szCs w:val="24"/>
                <w:lang w:val="en-US" w:eastAsia="zh-CN"/>
              </w:rPr>
            </w:pPr>
          </w:p>
        </w:tc>
      </w:tr>
      <w:tr w14:paraId="73EE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 w:type="dxa"/>
          </w:tcPr>
          <w:p w14:paraId="2068CB9F">
            <w:pPr>
              <w:pStyle w:val="22"/>
              <w:widowControl w:val="0"/>
              <w:spacing w:before="0" w:beforeAutospacing="0" w:after="0" w:afterAutospacing="0"/>
              <w:jc w:val="both"/>
              <w:rPr>
                <w:rStyle w:val="24"/>
                <w:rFonts w:ascii="Arial" w:hAnsi="Arial" w:cs="Arial"/>
                <w:color w:val="000000"/>
                <w:sz w:val="30"/>
                <w:szCs w:val="30"/>
              </w:rPr>
            </w:pPr>
            <w:r>
              <w:rPr>
                <w:rFonts w:ascii="Arial" w:hAnsi="Arial" w:cs="Arial"/>
                <w:color w:val="000000"/>
                <w:sz w:val="30"/>
                <w:szCs w:val="30"/>
              </w:rPr>
              <w:t>framework</w:t>
            </w:r>
          </w:p>
        </w:tc>
        <w:tc>
          <w:tcPr>
            <w:tcW w:w="6521" w:type="dxa"/>
          </w:tcPr>
          <w:p w14:paraId="214F8022">
            <w:pPr>
              <w:widowControl w:val="0"/>
              <w:jc w:val="both"/>
              <w:rPr>
                <w:rFonts w:hint="eastAsia"/>
              </w:rPr>
            </w:pPr>
            <w:r>
              <w:drawing>
                <wp:inline distT="0" distB="0" distL="114300" distR="114300">
                  <wp:extent cx="3997325" cy="2468880"/>
                  <wp:effectExtent l="0" t="0" r="317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3997325" cy="2468880"/>
                          </a:xfrm>
                          <a:prstGeom prst="rect">
                            <a:avLst/>
                          </a:prstGeom>
                          <a:noFill/>
                          <a:ln>
                            <a:noFill/>
                          </a:ln>
                        </pic:spPr>
                      </pic:pic>
                    </a:graphicData>
                  </a:graphic>
                </wp:inline>
              </w:drawing>
            </w:r>
          </w:p>
          <w:p w14:paraId="2DAA28DC">
            <w:pPr>
              <w:widowControl w:val="0"/>
              <w:jc w:val="both"/>
              <w:rPr>
                <w:rFonts w:hint="eastAsia"/>
              </w:rPr>
            </w:pPr>
          </w:p>
        </w:tc>
      </w:tr>
      <w:tr w14:paraId="139C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2168" w:type="dxa"/>
          </w:tcPr>
          <w:p w14:paraId="1A01DEFF">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Experiment</w:t>
            </w:r>
          </w:p>
          <w:p w14:paraId="54D4A5B1">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Result</w:t>
            </w:r>
          </w:p>
        </w:tc>
        <w:tc>
          <w:tcPr>
            <w:tcW w:w="6521" w:type="dxa"/>
          </w:tcPr>
          <w:p w14:paraId="46E9F3F2">
            <w:pPr>
              <w:widowControl w:val="0"/>
              <w:jc w:val="both"/>
            </w:pPr>
            <w:r>
              <w:drawing>
                <wp:inline distT="0" distB="0" distL="114300" distR="114300">
                  <wp:extent cx="3999865" cy="2437130"/>
                  <wp:effectExtent l="0" t="0" r="635"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3999865" cy="2437130"/>
                          </a:xfrm>
                          <a:prstGeom prst="rect">
                            <a:avLst/>
                          </a:prstGeom>
                          <a:noFill/>
                          <a:ln>
                            <a:noFill/>
                          </a:ln>
                        </pic:spPr>
                      </pic:pic>
                    </a:graphicData>
                  </a:graphic>
                </wp:inline>
              </w:drawing>
            </w:r>
          </w:p>
          <w:p w14:paraId="2D63642A">
            <w:pPr>
              <w:widowControl w:val="0"/>
              <w:jc w:val="both"/>
              <w:rPr>
                <w:rFonts w:hint="eastAsia"/>
              </w:rPr>
            </w:pPr>
            <w:r>
              <w:drawing>
                <wp:inline distT="0" distB="0" distL="114300" distR="114300">
                  <wp:extent cx="3999230" cy="2149475"/>
                  <wp:effectExtent l="0" t="0" r="127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3999230" cy="2149475"/>
                          </a:xfrm>
                          <a:prstGeom prst="rect">
                            <a:avLst/>
                          </a:prstGeom>
                          <a:noFill/>
                          <a:ln>
                            <a:noFill/>
                          </a:ln>
                        </pic:spPr>
                      </pic:pic>
                    </a:graphicData>
                  </a:graphic>
                </wp:inline>
              </w:drawing>
            </w:r>
            <w:r>
              <w:drawing>
                <wp:inline distT="0" distB="0" distL="114300" distR="114300">
                  <wp:extent cx="4003040" cy="2224405"/>
                  <wp:effectExtent l="0" t="0" r="10160" b="1079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4003040" cy="2224405"/>
                          </a:xfrm>
                          <a:prstGeom prst="rect">
                            <a:avLst/>
                          </a:prstGeom>
                          <a:noFill/>
                          <a:ln>
                            <a:noFill/>
                          </a:ln>
                        </pic:spPr>
                      </pic:pic>
                    </a:graphicData>
                  </a:graphic>
                </wp:inline>
              </w:drawing>
            </w:r>
            <w:r>
              <w:drawing>
                <wp:inline distT="0" distB="0" distL="114300" distR="114300">
                  <wp:extent cx="4003040" cy="706120"/>
                  <wp:effectExtent l="0" t="0" r="10160"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4003040" cy="706120"/>
                          </a:xfrm>
                          <a:prstGeom prst="rect">
                            <a:avLst/>
                          </a:prstGeom>
                          <a:noFill/>
                          <a:ln>
                            <a:noFill/>
                          </a:ln>
                        </pic:spPr>
                      </pic:pic>
                    </a:graphicData>
                  </a:graphic>
                </wp:inline>
              </w:drawing>
            </w:r>
          </w:p>
        </w:tc>
      </w:tr>
      <w:tr w14:paraId="050C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8" w:type="dxa"/>
          </w:tcPr>
          <w:p w14:paraId="6F4FA757">
            <w:pPr>
              <w:pStyle w:val="22"/>
              <w:widowControl w:val="0"/>
              <w:spacing w:before="0" w:beforeAutospacing="0" w:after="0" w:afterAutospacing="0"/>
              <w:jc w:val="both"/>
              <w:rPr>
                <w:rStyle w:val="24"/>
                <w:rFonts w:ascii="Arial" w:hAnsi="Arial" w:cs="Arial"/>
                <w:color w:val="000000"/>
                <w:sz w:val="30"/>
                <w:szCs w:val="30"/>
              </w:rPr>
            </w:pPr>
            <w:r>
              <w:rPr>
                <w:rStyle w:val="24"/>
                <w:rFonts w:ascii="Arial" w:hAnsi="Arial" w:cs="Arial"/>
                <w:color w:val="000000"/>
                <w:sz w:val="30"/>
                <w:szCs w:val="30"/>
              </w:rPr>
              <w:t>Conclusion</w:t>
            </w:r>
          </w:p>
        </w:tc>
        <w:tc>
          <w:tcPr>
            <w:tcW w:w="6521" w:type="dxa"/>
          </w:tcPr>
          <w:p w14:paraId="2422BF7C">
            <w:pPr>
              <w:widowControl w:val="0"/>
              <w:numPr>
                <w:ilvl w:val="0"/>
                <w:numId w:val="0"/>
              </w:numPr>
              <w:ind w:leftChars="0"/>
              <w:jc w:val="both"/>
              <w:rPr>
                <w:rFonts w:hint="eastAsia" w:ascii="宋体" w:hAnsi="宋体" w:eastAsia="宋体" w:cs="宋体"/>
                <w:sz w:val="24"/>
                <w:szCs w:val="24"/>
                <w:lang w:val="en-US" w:eastAsia="zh-CN"/>
              </w:rPr>
            </w:pPr>
            <w:r>
              <w:rPr>
                <w:rFonts w:ascii="宋体" w:hAnsi="宋体" w:eastAsia="宋体" w:cs="宋体"/>
                <w:sz w:val="24"/>
                <w:szCs w:val="24"/>
                <w:lang w:val="en-US" w:eastAsia="zh-CN"/>
              </w:rPr>
              <w:t>在本文工作中，我们提出了 PiSA</w:t>
            </w:r>
            <w:r>
              <w:rPr>
                <w:rFonts w:ascii="宋体" w:hAnsi="宋体" w:eastAsia="宋体" w:cs="宋体"/>
                <w:sz w:val="24"/>
                <w:szCs w:val="24"/>
                <w:lang w:val="en-US" w:eastAsia="zh-CN"/>
              </w:rPr>
              <w:noBreakHyphen/>
            </w:r>
            <w:r>
              <w:rPr>
                <w:rFonts w:ascii="宋体" w:hAnsi="宋体" w:eastAsia="宋体" w:cs="宋体"/>
                <w:sz w:val="24"/>
                <w:szCs w:val="24"/>
                <w:lang w:val="en-US" w:eastAsia="zh-CN"/>
              </w:rPr>
              <w:t>SR 这一新颖的超分辨率框架，该框架通过在预训练的稳定扩散（SD）模型上学习两个 LoRA 模块，实现了像素级目标与语义级目标的解耦。通过将学习过程解耦为两个独立的空间，PiSA</w:t>
            </w:r>
            <w:r>
              <w:rPr>
                <w:rFonts w:ascii="宋体" w:hAnsi="宋体" w:eastAsia="宋体" w:cs="宋体"/>
                <w:sz w:val="24"/>
                <w:szCs w:val="24"/>
                <w:lang w:val="en-US" w:eastAsia="zh-CN"/>
              </w:rPr>
              <w:noBreakHyphen/>
            </w:r>
            <w:r>
              <w:rPr>
                <w:rFonts w:ascii="宋体" w:hAnsi="宋体" w:eastAsia="宋体" w:cs="宋体"/>
                <w:sz w:val="24"/>
                <w:szCs w:val="24"/>
                <w:lang w:val="en-US" w:eastAsia="zh-CN"/>
              </w:rPr>
              <w:t>SR 有效平衡了像素级回归精度与感知质量。我们采用常用的 ℓ₂ 损失优化像素级 LoRA，同时利用 LPIPS 损失与分类器分数蒸馏（CSD）损失优化语义级 LoRA。PiSA</w:t>
            </w:r>
            <w:r>
              <w:rPr>
                <w:rFonts w:ascii="宋体" w:hAnsi="宋体" w:eastAsia="宋体" w:cs="宋体"/>
                <w:sz w:val="24"/>
                <w:szCs w:val="24"/>
                <w:lang w:val="en-US" w:eastAsia="zh-CN"/>
              </w:rPr>
              <w:noBreakHyphen/>
            </w:r>
            <w:r>
              <w:rPr>
                <w:rFonts w:ascii="宋体" w:hAnsi="宋体" w:eastAsia="宋体" w:cs="宋体"/>
                <w:sz w:val="24"/>
                <w:szCs w:val="24"/>
                <w:lang w:val="en-US" w:eastAsia="zh-CN"/>
              </w:rPr>
              <w:t>SR 在效果与效率两方面均展现出优异性能。此外，该方法在推理阶段通过可调节引导系数具备高度灵活性，用户无需重新训练模型即可定制超分辨率结果。</w:t>
            </w:r>
            <w:bookmarkStart w:id="2" w:name="_GoBack"/>
            <w:bookmarkEnd w:id="2"/>
            <w:r>
              <w:rPr>
                <w:rFonts w:ascii="宋体" w:hAnsi="宋体" w:eastAsia="宋体" w:cs="宋体"/>
                <w:sz w:val="24"/>
                <w:szCs w:val="24"/>
                <w:lang w:val="en-US" w:eastAsia="zh-CN"/>
              </w:rPr>
              <w:t>尽管 PiSA</w:t>
            </w:r>
            <w:r>
              <w:rPr>
                <w:rFonts w:ascii="宋体" w:hAnsi="宋体" w:eastAsia="宋体" w:cs="宋体"/>
                <w:sz w:val="24"/>
                <w:szCs w:val="24"/>
                <w:lang w:val="en-US" w:eastAsia="zh-CN"/>
              </w:rPr>
              <w:noBreakHyphen/>
            </w:r>
            <w:r>
              <w:rPr>
                <w:rFonts w:ascii="宋体" w:hAnsi="宋体" w:eastAsia="宋体" w:cs="宋体"/>
                <w:sz w:val="24"/>
                <w:szCs w:val="24"/>
                <w:lang w:val="en-US" w:eastAsia="zh-CN"/>
              </w:rPr>
              <w:t>SR 为调节像素保真度与语义感知度提供了灵活的解决方案，但其推理时间相较于默认版本略有增加。另外，我们仅使用单个像素级 LoRA 处理低质量图像中的各类退化问题，这对于严重退化场景可能不够适用。未来工作中，我们将探究为不同图像退化类型构建独立的 LoRA 空间，以及实现图像自适应调节系数的可行性。</w:t>
            </w:r>
          </w:p>
        </w:tc>
      </w:tr>
    </w:tbl>
    <w:p w14:paraId="48AA1122">
      <w:pPr>
        <w:pStyle w:val="22"/>
        <w:spacing w:before="0" w:beforeAutospacing="0" w:after="0" w:afterAutospacing="0"/>
        <w:rPr>
          <w:rStyle w:val="24"/>
          <w:rFonts w:ascii="Arial" w:hAnsi="Arial" w:cs="Arial"/>
          <w:color w:val="00000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imbusRomNo9L-Medi">
    <w:altName w:val="XcGJSymbol"/>
    <w:panose1 w:val="00000000000000000000"/>
    <w:charset w:val="00"/>
    <w:family w:val="auto"/>
    <w:pitch w:val="default"/>
    <w:sig w:usb0="00000000" w:usb1="00000000" w:usb2="00000000" w:usb3="00000000" w:csb0="00000000" w:csb1="00000000"/>
  </w:font>
  <w:font w:name="XcGJSymbol">
    <w:panose1 w:val="02000500000000000000"/>
    <w:charset w:val="00"/>
    <w:family w:val="auto"/>
    <w:pitch w:val="default"/>
    <w:sig w:usb0="00000000" w:usb1="00000000" w:usb2="00000000" w:usb3="00000000" w:csb0="00000001" w:csb1="00000000"/>
  </w:font>
  <w:font w:name="NimbusRomNo9L-Regu">
    <w:altName w:val="XcGJSymbol"/>
    <w:panose1 w:val="00000000000000000000"/>
    <w:charset w:val="00"/>
    <w:family w:val="auto"/>
    <w:pitch w:val="default"/>
    <w:sig w:usb0="00000000" w:usb1="00000000" w:usb2="00000000" w:usb3="00000000" w:csb0="00000000" w:csb1="00000000"/>
  </w:font>
  <w:font w:name="CMR8">
    <w:altName w:val="XcGJSymbol"/>
    <w:panose1 w:val="00000000000000000000"/>
    <w:charset w:val="00"/>
    <w:family w:val="auto"/>
    <w:pitch w:val="default"/>
    <w:sig w:usb0="00000000" w:usb1="00000000" w:usb2="00000000" w:usb3="00000000" w:csb0="00000000" w:csb1="00000000"/>
  </w:font>
  <w:font w:name="CMMI8">
    <w:altName w:val="XcGJ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jYzNmM2E2MjdhODFhN2Y0YmQ5YWI4MDQ5ZWEzODUifQ=="/>
    <w:docVar w:name="KSO_WPS_MARK_KEY" w:val="11fae89b-e44d-4f2d-a374-fee193db71ac"/>
  </w:docVars>
  <w:rsids>
    <w:rsidRoot w:val="00313C6A"/>
    <w:rsid w:val="0001672C"/>
    <w:rsid w:val="00037248"/>
    <w:rsid w:val="000521C2"/>
    <w:rsid w:val="000823E2"/>
    <w:rsid w:val="000849E2"/>
    <w:rsid w:val="000A63B8"/>
    <w:rsid w:val="000A71ED"/>
    <w:rsid w:val="000B59E4"/>
    <w:rsid w:val="000C7545"/>
    <w:rsid w:val="000E4CA9"/>
    <w:rsid w:val="00181975"/>
    <w:rsid w:val="001B7DAD"/>
    <w:rsid w:val="001F0F4A"/>
    <w:rsid w:val="00227DD2"/>
    <w:rsid w:val="0024369C"/>
    <w:rsid w:val="002E755D"/>
    <w:rsid w:val="00313C6A"/>
    <w:rsid w:val="003443AC"/>
    <w:rsid w:val="003606BD"/>
    <w:rsid w:val="00384400"/>
    <w:rsid w:val="00395D3D"/>
    <w:rsid w:val="003B6E84"/>
    <w:rsid w:val="003E2D6F"/>
    <w:rsid w:val="004375E6"/>
    <w:rsid w:val="004A733E"/>
    <w:rsid w:val="004C28A6"/>
    <w:rsid w:val="00525882"/>
    <w:rsid w:val="005433A8"/>
    <w:rsid w:val="00570AEE"/>
    <w:rsid w:val="00614626"/>
    <w:rsid w:val="00686EC2"/>
    <w:rsid w:val="006C113F"/>
    <w:rsid w:val="006F0726"/>
    <w:rsid w:val="0075382D"/>
    <w:rsid w:val="007B0F56"/>
    <w:rsid w:val="007D2F0B"/>
    <w:rsid w:val="007E0C32"/>
    <w:rsid w:val="007E3503"/>
    <w:rsid w:val="00826DAE"/>
    <w:rsid w:val="00827C7C"/>
    <w:rsid w:val="00837CA5"/>
    <w:rsid w:val="008523DB"/>
    <w:rsid w:val="00854D84"/>
    <w:rsid w:val="00860C59"/>
    <w:rsid w:val="00892326"/>
    <w:rsid w:val="008B5F10"/>
    <w:rsid w:val="008B7858"/>
    <w:rsid w:val="00905BA0"/>
    <w:rsid w:val="00906742"/>
    <w:rsid w:val="00910AD1"/>
    <w:rsid w:val="00912629"/>
    <w:rsid w:val="00947B50"/>
    <w:rsid w:val="009F5559"/>
    <w:rsid w:val="00A32DB2"/>
    <w:rsid w:val="00A47A5A"/>
    <w:rsid w:val="00A70434"/>
    <w:rsid w:val="00A70864"/>
    <w:rsid w:val="00A80599"/>
    <w:rsid w:val="00A812C1"/>
    <w:rsid w:val="00A972EF"/>
    <w:rsid w:val="00AA0524"/>
    <w:rsid w:val="00AA74E6"/>
    <w:rsid w:val="00B5113B"/>
    <w:rsid w:val="00B6608B"/>
    <w:rsid w:val="00B75081"/>
    <w:rsid w:val="00B807BB"/>
    <w:rsid w:val="00B8696F"/>
    <w:rsid w:val="00B87505"/>
    <w:rsid w:val="00BA213C"/>
    <w:rsid w:val="00BB1833"/>
    <w:rsid w:val="00BC7C35"/>
    <w:rsid w:val="00C0418C"/>
    <w:rsid w:val="00C4474B"/>
    <w:rsid w:val="00C5760A"/>
    <w:rsid w:val="00C80EEF"/>
    <w:rsid w:val="00CE02C0"/>
    <w:rsid w:val="00D212EA"/>
    <w:rsid w:val="00D2184D"/>
    <w:rsid w:val="00D43078"/>
    <w:rsid w:val="00DB5ED1"/>
    <w:rsid w:val="00E362F8"/>
    <w:rsid w:val="00E43417"/>
    <w:rsid w:val="00E60D2F"/>
    <w:rsid w:val="00E65876"/>
    <w:rsid w:val="00E66999"/>
    <w:rsid w:val="00F37D42"/>
    <w:rsid w:val="00F64154"/>
    <w:rsid w:val="00FC3FB0"/>
    <w:rsid w:val="00FD17BC"/>
    <w:rsid w:val="00FE3292"/>
    <w:rsid w:val="00FF3F43"/>
    <w:rsid w:val="013A1025"/>
    <w:rsid w:val="013E2686"/>
    <w:rsid w:val="01C866F9"/>
    <w:rsid w:val="022D1ADC"/>
    <w:rsid w:val="02665FB2"/>
    <w:rsid w:val="02B60F20"/>
    <w:rsid w:val="03AA31ED"/>
    <w:rsid w:val="042A6EF2"/>
    <w:rsid w:val="04504B02"/>
    <w:rsid w:val="04E15065"/>
    <w:rsid w:val="05212DAC"/>
    <w:rsid w:val="0570387D"/>
    <w:rsid w:val="07004434"/>
    <w:rsid w:val="07413B34"/>
    <w:rsid w:val="082075C9"/>
    <w:rsid w:val="08552189"/>
    <w:rsid w:val="09012917"/>
    <w:rsid w:val="0A187464"/>
    <w:rsid w:val="0A1A104B"/>
    <w:rsid w:val="0ACC66DE"/>
    <w:rsid w:val="0C0B1618"/>
    <w:rsid w:val="0CF86057"/>
    <w:rsid w:val="0D0A78C0"/>
    <w:rsid w:val="0D127713"/>
    <w:rsid w:val="0D9A5BFA"/>
    <w:rsid w:val="0DDB7B5E"/>
    <w:rsid w:val="0ED80745"/>
    <w:rsid w:val="0EDD2143"/>
    <w:rsid w:val="0F184516"/>
    <w:rsid w:val="0F1A0BF3"/>
    <w:rsid w:val="10F529F9"/>
    <w:rsid w:val="112B3CBF"/>
    <w:rsid w:val="11343285"/>
    <w:rsid w:val="113D64B6"/>
    <w:rsid w:val="11E00A8A"/>
    <w:rsid w:val="11EA21CF"/>
    <w:rsid w:val="123872C9"/>
    <w:rsid w:val="12AD6541"/>
    <w:rsid w:val="136C02BE"/>
    <w:rsid w:val="1490670C"/>
    <w:rsid w:val="15335A64"/>
    <w:rsid w:val="15D65076"/>
    <w:rsid w:val="164F6FA2"/>
    <w:rsid w:val="180D46F9"/>
    <w:rsid w:val="1975278C"/>
    <w:rsid w:val="19913482"/>
    <w:rsid w:val="19C930A8"/>
    <w:rsid w:val="1A1015D6"/>
    <w:rsid w:val="1A4A05AF"/>
    <w:rsid w:val="1B57708B"/>
    <w:rsid w:val="1E3A6FD8"/>
    <w:rsid w:val="1EB51FA3"/>
    <w:rsid w:val="1ED26E56"/>
    <w:rsid w:val="1F9C3F83"/>
    <w:rsid w:val="20053301"/>
    <w:rsid w:val="202C3AFC"/>
    <w:rsid w:val="206776E9"/>
    <w:rsid w:val="21DE17AF"/>
    <w:rsid w:val="233E3859"/>
    <w:rsid w:val="23F92711"/>
    <w:rsid w:val="24EE0368"/>
    <w:rsid w:val="24F27DA2"/>
    <w:rsid w:val="25211E22"/>
    <w:rsid w:val="2613354C"/>
    <w:rsid w:val="26D117FC"/>
    <w:rsid w:val="26EA4592"/>
    <w:rsid w:val="27605350"/>
    <w:rsid w:val="276B055C"/>
    <w:rsid w:val="278A3680"/>
    <w:rsid w:val="27A446BF"/>
    <w:rsid w:val="27C34AE5"/>
    <w:rsid w:val="28A34E50"/>
    <w:rsid w:val="28C34B97"/>
    <w:rsid w:val="28DB1F8B"/>
    <w:rsid w:val="290D6D23"/>
    <w:rsid w:val="2A794DC8"/>
    <w:rsid w:val="2A84085A"/>
    <w:rsid w:val="2AFF7BF2"/>
    <w:rsid w:val="2B3B5199"/>
    <w:rsid w:val="2D4705D0"/>
    <w:rsid w:val="2D601543"/>
    <w:rsid w:val="2ED0766D"/>
    <w:rsid w:val="2F280F88"/>
    <w:rsid w:val="303C28F1"/>
    <w:rsid w:val="312D38EE"/>
    <w:rsid w:val="329D4BAF"/>
    <w:rsid w:val="32AC08B4"/>
    <w:rsid w:val="32BD0DAD"/>
    <w:rsid w:val="33155C9B"/>
    <w:rsid w:val="34056007"/>
    <w:rsid w:val="34833930"/>
    <w:rsid w:val="36D830D5"/>
    <w:rsid w:val="373F6C43"/>
    <w:rsid w:val="37632AB5"/>
    <w:rsid w:val="377C1D6F"/>
    <w:rsid w:val="388E03C2"/>
    <w:rsid w:val="391F1EC3"/>
    <w:rsid w:val="398E6E86"/>
    <w:rsid w:val="3A3E197D"/>
    <w:rsid w:val="3B9D55CE"/>
    <w:rsid w:val="3D1412CE"/>
    <w:rsid w:val="3D4A34EB"/>
    <w:rsid w:val="3DAD1DAB"/>
    <w:rsid w:val="3E1B0554"/>
    <w:rsid w:val="3F47037C"/>
    <w:rsid w:val="3F9875CE"/>
    <w:rsid w:val="404F1B13"/>
    <w:rsid w:val="40A13D90"/>
    <w:rsid w:val="40F95E35"/>
    <w:rsid w:val="41E838FF"/>
    <w:rsid w:val="425A292F"/>
    <w:rsid w:val="428E1E1E"/>
    <w:rsid w:val="42C121F4"/>
    <w:rsid w:val="43FF55FF"/>
    <w:rsid w:val="441C07CA"/>
    <w:rsid w:val="457D7C68"/>
    <w:rsid w:val="46487824"/>
    <w:rsid w:val="474C607D"/>
    <w:rsid w:val="47A04ACD"/>
    <w:rsid w:val="48B514A0"/>
    <w:rsid w:val="4B52424E"/>
    <w:rsid w:val="4C433C79"/>
    <w:rsid w:val="4EC866B8"/>
    <w:rsid w:val="4F0B5FA8"/>
    <w:rsid w:val="4F1E64ED"/>
    <w:rsid w:val="509E3B74"/>
    <w:rsid w:val="510D637B"/>
    <w:rsid w:val="51444FD8"/>
    <w:rsid w:val="523707EA"/>
    <w:rsid w:val="5253098E"/>
    <w:rsid w:val="525830C3"/>
    <w:rsid w:val="536B0213"/>
    <w:rsid w:val="536F76CA"/>
    <w:rsid w:val="53E04495"/>
    <w:rsid w:val="53ED5B49"/>
    <w:rsid w:val="54742CC5"/>
    <w:rsid w:val="55144C39"/>
    <w:rsid w:val="55503E98"/>
    <w:rsid w:val="55BF3C5C"/>
    <w:rsid w:val="5663166A"/>
    <w:rsid w:val="5B182775"/>
    <w:rsid w:val="5B497677"/>
    <w:rsid w:val="5BC22F58"/>
    <w:rsid w:val="6075408A"/>
    <w:rsid w:val="607678A0"/>
    <w:rsid w:val="6094063A"/>
    <w:rsid w:val="61E81904"/>
    <w:rsid w:val="633E763D"/>
    <w:rsid w:val="644C3818"/>
    <w:rsid w:val="64553DC1"/>
    <w:rsid w:val="64C06FF1"/>
    <w:rsid w:val="64DF311C"/>
    <w:rsid w:val="658E54A9"/>
    <w:rsid w:val="65A75204"/>
    <w:rsid w:val="665C5F75"/>
    <w:rsid w:val="6A75729C"/>
    <w:rsid w:val="6AE03108"/>
    <w:rsid w:val="6B596BBE"/>
    <w:rsid w:val="6B6F3C8E"/>
    <w:rsid w:val="6DA7276D"/>
    <w:rsid w:val="6E261C8F"/>
    <w:rsid w:val="6E2E7D42"/>
    <w:rsid w:val="6E6E6E92"/>
    <w:rsid w:val="6F1104C5"/>
    <w:rsid w:val="7040624E"/>
    <w:rsid w:val="70974410"/>
    <w:rsid w:val="70A30AC2"/>
    <w:rsid w:val="70AF7271"/>
    <w:rsid w:val="70CE1BFC"/>
    <w:rsid w:val="70D72A5F"/>
    <w:rsid w:val="71CF6A05"/>
    <w:rsid w:val="71E468D4"/>
    <w:rsid w:val="72330169"/>
    <w:rsid w:val="72526EE9"/>
    <w:rsid w:val="72A93F87"/>
    <w:rsid w:val="72CF3D67"/>
    <w:rsid w:val="7309305A"/>
    <w:rsid w:val="73B91FB1"/>
    <w:rsid w:val="7476433D"/>
    <w:rsid w:val="748E140C"/>
    <w:rsid w:val="748F53FE"/>
    <w:rsid w:val="7592164A"/>
    <w:rsid w:val="766F7624"/>
    <w:rsid w:val="77FF2E6B"/>
    <w:rsid w:val="7915026D"/>
    <w:rsid w:val="7A625354"/>
    <w:rsid w:val="7AD26045"/>
    <w:rsid w:val="7C3A64F7"/>
    <w:rsid w:val="7D7A30EF"/>
    <w:rsid w:val="7E1F50D4"/>
    <w:rsid w:val="7EC469CB"/>
    <w:rsid w:val="7F5E434B"/>
    <w:rsid w:val="7FF73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9"/>
    <w:pPr>
      <w:spacing w:beforeAutospacing="1" w:afterAutospacing="1"/>
      <w:outlineLvl w:val="0"/>
    </w:pPr>
    <w:rPr>
      <w:rFonts w:hint="eastAsia" w:cs="Times New Roman"/>
      <w:b/>
      <w:bCs/>
      <w:kern w:val="44"/>
      <w:sz w:val="48"/>
      <w:szCs w:val="48"/>
    </w:rPr>
  </w:style>
  <w:style w:type="paragraph" w:styleId="3">
    <w:name w:val="heading 2"/>
    <w:basedOn w:val="1"/>
    <w:next w:val="1"/>
    <w:semiHidden/>
    <w:unhideWhenUsed/>
    <w:qFormat/>
    <w:uiPriority w:val="9"/>
    <w:pPr>
      <w:spacing w:beforeAutospacing="1" w:afterAutospacing="1"/>
      <w:outlineLvl w:val="1"/>
    </w:pPr>
    <w:rPr>
      <w:rFonts w:hint="eastAsia" w:cs="Times New Roman"/>
      <w:b/>
      <w:bCs/>
      <w:sz w:val="36"/>
      <w:szCs w:val="36"/>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Body Text"/>
    <w:basedOn w:val="1"/>
    <w:autoRedefine/>
    <w:qFormat/>
    <w:uiPriority w:val="0"/>
    <w:pPr>
      <w:spacing w:after="120"/>
    </w:pPr>
  </w:style>
  <w:style w:type="paragraph" w:styleId="7">
    <w:name w:val="Balloon Text"/>
    <w:basedOn w:val="1"/>
    <w:link w:val="25"/>
    <w:autoRedefine/>
    <w:semiHidden/>
    <w:unhideWhenUsed/>
    <w:qFormat/>
    <w:uiPriority w:val="99"/>
    <w:rPr>
      <w:sz w:val="18"/>
      <w:szCs w:val="18"/>
    </w:rPr>
  </w:style>
  <w:style w:type="paragraph" w:styleId="8">
    <w:name w:val="footer"/>
    <w:basedOn w:val="1"/>
    <w:link w:val="21"/>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9">
    <w:name w:val="header"/>
    <w:basedOn w:val="1"/>
    <w:link w:val="20"/>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0">
    <w:name w:val="Normal (Web)"/>
    <w:basedOn w:val="1"/>
    <w:autoRedefine/>
    <w:unhideWhenUsed/>
    <w:qFormat/>
    <w:uiPriority w:val="99"/>
    <w:pPr>
      <w:spacing w:before="100" w:beforeAutospacing="1" w:after="100" w:afterAutospacing="1"/>
    </w:pPr>
  </w:style>
  <w:style w:type="table" w:styleId="12">
    <w:name w:val="Table Grid"/>
    <w:basedOn w:val="1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autoRedefine/>
    <w:qFormat/>
    <w:uiPriority w:val="22"/>
    <w:rPr>
      <w:b/>
    </w:rPr>
  </w:style>
  <w:style w:type="character" w:styleId="15">
    <w:name w:val="FollowedHyperlink"/>
    <w:basedOn w:val="13"/>
    <w:semiHidden/>
    <w:unhideWhenUsed/>
    <w:qFormat/>
    <w:uiPriority w:val="99"/>
    <w:rPr>
      <w:color w:val="800080"/>
      <w:u w:val="single"/>
    </w:rPr>
  </w:style>
  <w:style w:type="character" w:styleId="16">
    <w:name w:val="Hyperlink"/>
    <w:basedOn w:val="13"/>
    <w:unhideWhenUsed/>
    <w:qFormat/>
    <w:uiPriority w:val="99"/>
    <w:rPr>
      <w:color w:val="0000FF"/>
      <w:u w:val="single"/>
    </w:rPr>
  </w:style>
  <w:style w:type="character" w:styleId="17">
    <w:name w:val="HTML Code"/>
    <w:basedOn w:val="13"/>
    <w:semiHidden/>
    <w:unhideWhenUsed/>
    <w:qFormat/>
    <w:uiPriority w:val="99"/>
    <w:rPr>
      <w:rFonts w:ascii="Courier New" w:hAnsi="Courier New"/>
      <w:sz w:val="20"/>
    </w:rPr>
  </w:style>
  <w:style w:type="paragraph" w:customStyle="1" w:styleId="18">
    <w:name w:val="毕设论文正文"/>
    <w:basedOn w:val="1"/>
    <w:next w:val="6"/>
    <w:qFormat/>
    <w:uiPriority w:val="0"/>
    <w:pPr>
      <w:kinsoku w:val="0"/>
      <w:spacing w:line="360" w:lineRule="auto"/>
      <w:ind w:firstLine="480" w:firstLineChars="200"/>
      <w:jc w:val="both"/>
    </w:pPr>
    <w:rPr>
      <w:rFonts w:ascii="Times New Roman" w:hAnsi="Times New Roman"/>
    </w:rPr>
  </w:style>
  <w:style w:type="paragraph" w:customStyle="1" w:styleId="19">
    <w:name w:val="111正文"/>
    <w:basedOn w:val="18"/>
    <w:autoRedefine/>
    <w:qFormat/>
    <w:uiPriority w:val="0"/>
    <w:pPr>
      <w:kinsoku/>
    </w:pPr>
    <w:rPr>
      <w:rFonts w:hint="eastAsia"/>
      <w:sz w:val="21"/>
    </w:rPr>
  </w:style>
  <w:style w:type="character" w:customStyle="1" w:styleId="20">
    <w:name w:val="页眉 字符"/>
    <w:basedOn w:val="13"/>
    <w:link w:val="9"/>
    <w:qFormat/>
    <w:uiPriority w:val="99"/>
    <w:rPr>
      <w:sz w:val="18"/>
      <w:szCs w:val="18"/>
    </w:rPr>
  </w:style>
  <w:style w:type="character" w:customStyle="1" w:styleId="21">
    <w:name w:val="页脚 字符"/>
    <w:basedOn w:val="13"/>
    <w:link w:val="8"/>
    <w:qFormat/>
    <w:uiPriority w:val="99"/>
    <w:rPr>
      <w:sz w:val="18"/>
      <w:szCs w:val="18"/>
    </w:rPr>
  </w:style>
  <w:style w:type="paragraph" w:customStyle="1" w:styleId="22">
    <w:name w:val="p0"/>
    <w:basedOn w:val="1"/>
    <w:qFormat/>
    <w:uiPriority w:val="0"/>
    <w:pPr>
      <w:spacing w:before="100" w:beforeAutospacing="1" w:after="100" w:afterAutospacing="1"/>
    </w:pPr>
  </w:style>
  <w:style w:type="character" w:customStyle="1" w:styleId="23">
    <w:name w:val="apple-style-span"/>
    <w:basedOn w:val="13"/>
    <w:autoRedefine/>
    <w:qFormat/>
    <w:uiPriority w:val="0"/>
  </w:style>
  <w:style w:type="character" w:customStyle="1" w:styleId="24">
    <w:name w:val="15"/>
    <w:basedOn w:val="13"/>
    <w:qFormat/>
    <w:uiPriority w:val="0"/>
  </w:style>
  <w:style w:type="character" w:customStyle="1" w:styleId="25">
    <w:name w:val="批注框文本 字符"/>
    <w:basedOn w:val="13"/>
    <w:link w:val="7"/>
    <w:autoRedefine/>
    <w:semiHidden/>
    <w:qFormat/>
    <w:uiPriority w:val="99"/>
    <w:rPr>
      <w:rFonts w:ascii="宋体" w:hAnsi="宋体" w:eastAsia="宋体" w:cs="宋体"/>
      <w:kern w:val="0"/>
      <w:sz w:val="18"/>
      <w:szCs w:val="18"/>
    </w:rPr>
  </w:style>
  <w:style w:type="character" w:customStyle="1" w:styleId="26">
    <w:name w:val="lijujieshi"/>
    <w:basedOn w:val="13"/>
    <w:autoRedefine/>
    <w:qFormat/>
    <w:uiPriority w:val="0"/>
  </w:style>
  <w:style w:type="character" w:customStyle="1" w:styleId="27">
    <w:name w:val="word"/>
    <w:basedOn w:val="13"/>
    <w:autoRedefine/>
    <w:qFormat/>
    <w:uiPriority w:val="0"/>
  </w:style>
  <w:style w:type="character" w:customStyle="1" w:styleId="28">
    <w:name w:val="未处理的提及1"/>
    <w:basedOn w:val="13"/>
    <w:autoRedefine/>
    <w:semiHidden/>
    <w:unhideWhenUsed/>
    <w:qFormat/>
    <w:uiPriority w:val="99"/>
    <w:rPr>
      <w:color w:val="605E5C"/>
      <w:shd w:val="clear" w:color="auto" w:fill="E1DFDD"/>
    </w:rPr>
  </w:style>
  <w:style w:type="paragraph" w:styleId="29">
    <w:name w:val="List Paragraph"/>
    <w:basedOn w:val="1"/>
    <w:autoRedefine/>
    <w:unhideWhenUsed/>
    <w:qFormat/>
    <w:uiPriority w:val="99"/>
    <w:pPr>
      <w:ind w:firstLine="420" w:firstLineChars="200"/>
    </w:pPr>
  </w:style>
  <w:style w:type="character" w:customStyle="1" w:styleId="30">
    <w:name w:val="未处理的提及2"/>
    <w:basedOn w:val="13"/>
    <w:semiHidden/>
    <w:unhideWhenUsed/>
    <w:qFormat/>
    <w:uiPriority w:val="99"/>
    <w:rPr>
      <w:color w:val="605E5C"/>
      <w:shd w:val="clear" w:color="auto" w:fill="E1DFDD"/>
    </w:rPr>
  </w:style>
  <w:style w:type="character" w:customStyle="1" w:styleId="31">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 </Company>
  <Pages>5</Pages>
  <Words>2169</Words>
  <Characters>2714</Characters>
  <Lines>83</Lines>
  <Paragraphs>40</Paragraphs>
  <TotalTime>8</TotalTime>
  <ScaleCrop>false</ScaleCrop>
  <LinksUpToDate>false</LinksUpToDate>
  <CharactersWithSpaces>2842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2025-05-25T06:47:00Z</dcterms:created>
  <dc:creator>thinkpad</dc:creator>
  <cp:lastModifiedBy>田佳幸</cp:lastModifiedBy>
  <dcterms:modified xsi:type="dcterms:W3CDTF">2026-04-15T14:54:13Z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C9781DD6489748E48A7C6CC3AE660CFC_13</vt:lpwstr>
  </property>
  <property fmtid="{D5CDD505-2E9C-101B-9397-08002B2CF9AE}" pid="4" name="KSOTemplateDocerSaveRecord">
    <vt:lpwstr>eyJoZGlkIjoiMDRiOGUyZDI2YjBjMzM2YzBkNDE3ZWE0MDRkZGI5MTgiLCJ1c2VySWQiOiIxNzc3NzkyMjY4In0=</vt:lpwstr>
  </property>
</Properties>
</file>